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jgqbhwaedd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A teljes levél szövege (TXT)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Címzett:</w:t>
      </w:r>
      <w:r w:rsidDel="00000000" w:rsidR="00000000" w:rsidRPr="00000000">
        <w:rPr>
          <w:rtl w:val="0"/>
        </w:rPr>
        <w:t xml:space="preserve"> KÁROSULT anonimizált adata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Fejléc:</w:t>
      </w:r>
      <w:r w:rsidDel="00000000" w:rsidR="00000000" w:rsidRPr="00000000">
        <w:rPr>
          <w:rtl w:val="0"/>
        </w:rPr>
        <w:t xml:space="preserve"> Iktatószám: XXX-1111111 Azonosító: XXXXXXXXX  Bejelentés ideje: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2025.XX.XX</w:t>
        </w:r>
      </w:hyperlink>
      <w:r w:rsidDel="00000000" w:rsidR="00000000" w:rsidRPr="00000000">
        <w:rPr>
          <w:rtl w:val="0"/>
        </w:rPr>
        <w:t xml:space="preserve"> Bejelentés Módja: TELEFON - RÖGZ. ÉS AZONOSÍTOTT Dátum: 2025.XX.XX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Tisztelt ANONÍM KÁROSULT!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Köszönjük, hogy XXX-1111111 számon benyújtott panaszában bizalommal fordult Bankunkhoz!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Először is engedje meg, hogy őszinte sajnálatunkat fejezzük ki az esettel kapcsolatban. Biztosítjuk arról, hogy ügyfeleink érdekeit szem előtt tartva, Bankunk segítő szándékkal jár el.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Panasza kapcsán Bankunk minden illetékes osztálya megtette a szükséges kivizsgálást. Szakterületeink valamennyi munkatársa az ügyfelektől érkező bejelentések alapos, teljes körű áttekintése mellett arra is törekszik, hogy pontos és helytálló tájékoztatást adjon.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Általánosságban az alábbiakat érdemes tudni az úgynevezett phishingről, vagyis az adathalász csalások működéséről: A phishing csalások leggyakoribb lépései az alábbiak: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banki internetbank belépő oldalra nagymértékben hasonlító adathalász oldalt hoznak létre a csalók;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Google keresőben leggyakrabban szponzorált oldalként, a találatok között jelennek meg ezek az adathalász oldalak.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Az internetbank adatok ügyfél általi megadását követően, azok birtokában az elkövetők új MBH Bank App telepítést, és saját eszközük útján történő hozzáférést kezdeményezik.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Ügyfelek az SMS üzenetben érkező, az új MBH Bank App telepítés befejezéséhez használható kódot szintén megadják az adathalász oldalon.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Az elkövetők saját eszközüket felhasználva elutalják az ügyfelek számlaegyenlegét legtöbb esetben stróman számlákra, vagy kártyás tranzakciók keretében többnyire kriptovalutát vásárolnak.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Felhívjuk szíves figyelmét, hogy minden esetben az MBH Bank hivatalos oldaláról jelentkezzen be az MBH Netbank szolgáltatásába. Ennek legegyszerűbb és legbiztonságosabb módja, ha a böngészőbe begépeli a www.mbhbank.hu címet és jobb oldalon az „Online bankolás” menüpontra kattint. Ezen kívül kérjük, hogy minden esetben ellenőrizze, hogy milyen tranzakcióra vagy módosításra ad jóváhagyást az egyszer használatos SMS kód vagy a banki applikáció segítségével.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Az MBH Bank elkötelezett ügyfelei pénzügyi biztonsága mellett, ezért rendszeresen felhívja Ügyfelei figyelmét az adathalász támadások veszélyeire – elektronikus csatornáin, honlapján, közösségi média felületein. A leggyakoribb csalási formákról, egyéb hasznos biztonsági tanácsokról a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https://www.mbhbank.hu/bankbiztonsag</w:t>
        </w:r>
      </w:hyperlink>
      <w:r w:rsidDel="00000000" w:rsidR="00000000" w:rsidRPr="00000000">
        <w:rPr>
          <w:rtl w:val="0"/>
        </w:rPr>
        <w:t xml:space="preserve"> oldalon adunk tájékoztatást.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Bankunk fenntartja az XXX-111111  panaszra adott válaszában részletesen kifejtett álláspontját, miszerint Ön súlyosan gondatlanul járt el, ugyanakkor a kárenyhítés segítése érdekében – egyedi döntésünk értelmében – a kialakult jó üzleti kapcsolatra való tekintettel, méltányossági alapon a Bank megtéríti a csalárd tranzakciók összegének 70%-át abban az esetben, amennyiben Ön a saját nevében a Bank által elvárt és elfogadható tartalmú nyilatkozatot írásban megteszi, és a megállapodást aláírja a levél kézhezvételétől számított 30 napon belül.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fent részletezettekkel kapcsolatban Bankunk időpont egyeztetés céljából telefonon keresztül felveszi Önnel a kapcsolatot, a megállapodás megkötése érdekében. A megállapodás tartalmának megismerésére kizárólag a telefonos egyeztetést követően, a kijelölt bankfiókban lesz lehetősége.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Kérjük, hogy az adó igazolványát, mely tartalmazza a 10 jegyű adóazonosító számát, valamint a személy azonosító igazolványát a megállapodás megkötésének alkalmával, adategyeztetés céljából hozza magával!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méltányossági kifizetés a hatályos SZJA törvény értelmében adóköteles jövedelem, mely után Önnek 15 % SZJA, Bankunknak pedig 13 % SZOCHO fizetési kötelezettsége keletkezik. A jóváírt méltányossági térítés már a 15 % SZJA-val csökkentett összeg, így Önnek további fizetési kötelezettsége nincs.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Az adott évben kapott méltányossági összeget a Bank jelenti az Adóhatóság részére, így azt az Adóhatóság figyelembe veszi és szerepeltetni fogja az Ön adóbevallási tervezetében. A méltányosságból kifizetett összegről és a levont adóról a jövedelemigazolást a Bank megküldi az Ön részére.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Amennyiben a válaszunkban foglaltakkal nem tekinti rendezettnek a panaszát, a panasz tárgyára tekintettel az alábbi jogorvoslati lehetőséggel élhet.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Tájékoztatjuk, hogy szerződés létrejöttével, érvényességével, joghatásaival és megszűnésével, továbbá szerződésszegéssel és annak joghatásaival kapcsolatos panasz esetén lehetőség van a Pénzügyi Békéltető Testülethez, valamint a polgári perrendtartás szabályai szerint bírósághoz fordulni. A Pénzügyi Békéltető Testület székhelye: 1013 Budapest, Krisztina krt. 55., az ügyfélszolgálat elérhetősége: 1122 Budapest, Krisztina krt. 6., a meghallgatások helye: 1133 Budapest, Váci út 76., levelezési címe: H-1525 Budapest, Pf. 172, telefon: 06-80-203-776, internetes elérhetőség: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https://www.mnb.hu/bekeltetes</w:t>
        </w:r>
      </w:hyperlink>
      <w:r w:rsidDel="00000000" w:rsidR="00000000" w:rsidRPr="00000000">
        <w:rPr>
          <w:rtl w:val="0"/>
        </w:rPr>
        <w:t xml:space="preserve">, e-mail: ugyfelszolgalat@mnb.hu.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jogorvoslati eljáráshoz szükséges nyomtatványok a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https://www.mnb.hu/bekeltetes/kerelem-es-egyeb-nyomtatvanyok/kerelem-nyomtatvanyok</w:t>
        </w:r>
      </w:hyperlink>
      <w:r w:rsidDel="00000000" w:rsidR="00000000" w:rsidRPr="00000000">
        <w:rPr>
          <w:rtl w:val="0"/>
        </w:rPr>
        <w:t xml:space="preserve">, valamint a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http://www.mnb.hu/fogyasztovedelem/penzugyi-panasz</w:t>
        </w:r>
      </w:hyperlink>
      <w:r w:rsidDel="00000000" w:rsidR="00000000" w:rsidRPr="00000000">
        <w:rPr>
          <w:rtl w:val="0"/>
        </w:rPr>
        <w:t xml:space="preserve"> weboldalon érhetők el. A szükséges dokumentumokat költség-és díjmentesen kérheti az MBH Bank Nyrt. bármely bankfiókjában, illetve postai úton a levelezési címünkre – 5600 Békéscsaba Andrássy út 37-43 – írott levél formájában, továbbá a bank telefonos ügyfélszolgálatán, melynek elérhetősége belföldről 06 80 350 350, külföldről a 06 1 373 33 99, valamint elektronikus úton az ugyfelszolgalat@mbhbank.hu címen, és az MNB ügyfélszolgálatán is.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Tájékoztatjuk, hogy a Bank a fogyasztói jogok egyszerű, gyors és költségkímélő érvényesítésének biztosítása érdekében önkéntesen és általános módon (3 millió HUF ügyleti- és 1 millió HUF kárértékig) alávetette magát a pénzügyi fogyasztói jogvitában hatáskörrel rendelkező Pénzügyi Békéltető Testület döntésének. A Bank 2011. december 1. napján tett alávetési nyilatkozata visszavonásig érvényes. A bank az alávetési nyilatkozatot a Magyar Nemzeti Bankról szóló 2013. évi CXXXIX. törvény 303. § (1) bekezdése alapján saját döntése alapján bármikor jogosult egyoldalúan, indokolás nélkül visszavonni.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fentebb rögzítetteken túl felhívjuk figyelmét, hogy 2024. január 1. napjától a Pénzügyi Békéltető Testület egyezség hiányában akkor is kötelezést tartalmazó határozatot hozhat (MNB törvény 111. § (2) bekezdés alapján), ha az adott ügyben érintett pénzügyi szolgáltató alávetési nyilatkozatot nem tett, de a kérelem megalapozott és a fogyasztó érvényesíteni kívánt igénye – sem a kérelemben, sem a kötelezést tartalmazó határozat meghozatalakor – nem haladja meg a kettőmillió forintot.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Üdvözlettel: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MBH Bank Nyrt.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Aláírások:</w:t>
      </w:r>
      <w:r w:rsidDel="00000000" w:rsidR="00000000" w:rsidRPr="00000000">
        <w:rPr>
          <w:rtl w:val="0"/>
        </w:rPr>
        <w:t xml:space="preserve"> Lukácsné Kovács Alexandra (szakterületi vezető) Fürár Szabina Ágnes (szakterületi vezető)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MBH Bank Nyrt.</w:t>
      </w:r>
      <w:r w:rsidDel="00000000" w:rsidR="00000000" w:rsidRPr="00000000">
        <w:rPr>
          <w:rtl w:val="0"/>
        </w:rPr>
        <w:t xml:space="preserve"> Panaszkezelés 5600 Békéscsaba, Andrássy út 37-43.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nb.hu/bekeltetes/kerelem-es-egyeb-nyomtatvanyok/kerelem-nyomtatvanyok" TargetMode="External"/><Relationship Id="rId10" Type="http://schemas.openxmlformats.org/officeDocument/2006/relationships/hyperlink" Target="https://www.mnb.hu/bekeltetes" TargetMode="External"/><Relationship Id="rId13" Type="http://schemas.openxmlformats.org/officeDocument/2006/relationships/hyperlink" Target="http://www.mnb.hu/fogyasztovedelem/penzugyi-panasz" TargetMode="External"/><Relationship Id="rId12" Type="http://schemas.openxmlformats.org/officeDocument/2006/relationships/hyperlink" Target="https://www.mnb.hu/bekeltetes/kerelem-es-egyeb-nyomtatvanyok/kerelem-nyomtatvanyo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nb.hu/bekeltetes" TargetMode="External"/><Relationship Id="rId14" Type="http://schemas.openxmlformats.org/officeDocument/2006/relationships/hyperlink" Target="http://www.mnb.hu/fogyasztovedelem/penzugyi-panasz" TargetMode="External"/><Relationship Id="rId5" Type="http://schemas.openxmlformats.org/officeDocument/2006/relationships/styles" Target="styles.xml"/><Relationship Id="rId6" Type="http://schemas.openxmlformats.org/officeDocument/2006/relationships/hyperlink" Target="http://2025.xx.xx" TargetMode="External"/><Relationship Id="rId7" Type="http://schemas.openxmlformats.org/officeDocument/2006/relationships/hyperlink" Target="https://www.mbhbank.hu/bankbiztonsag" TargetMode="External"/><Relationship Id="rId8" Type="http://schemas.openxmlformats.org/officeDocument/2006/relationships/hyperlink" Target="https://www.mbhbank.hu/bankbiztons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